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015/2008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 o Regimento Escolar da Escola Municipal de Ensino Fundamental Carlos Antônio Wilkens.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Carlos Antônio Wilkens,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– O Regimento Escolar atende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ressalvadas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6 - Das 3 (três) vias originais do Regimento Escolar homologadas, uma fica  arquivada no Conselho Municipal de Educação e duas  serão enviadas à Secretaria Municipal de Educação,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pela Comissão de Análise em 18 de julho de 2008.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